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2170BF" w:rsidRDefault="00FB3FC9" w:rsidP="00EB0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0BF">
        <w:rPr>
          <w:rFonts w:ascii="Times New Roman" w:hAnsi="Times New Roman" w:cs="Times New Roman"/>
          <w:sz w:val="24"/>
          <w:szCs w:val="24"/>
        </w:rPr>
        <w:t>Форма 7</w:t>
      </w:r>
    </w:p>
    <w:p w:rsidR="00FB3FC9" w:rsidRPr="002170BF" w:rsidRDefault="00FB3FC9" w:rsidP="00EB0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C9" w:rsidRPr="002170BF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BF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2170BF" w:rsidRDefault="007551F9" w:rsidP="00EB0925">
      <w:pPr>
        <w:spacing w:after="0" w:line="240" w:lineRule="auto"/>
        <w:jc w:val="center"/>
        <w:rPr>
          <w:szCs w:val="24"/>
        </w:rPr>
      </w:pPr>
      <w:r w:rsidRPr="00217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C9" w:rsidRPr="002170BF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BF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816"/>
        <w:gridCol w:w="5679"/>
        <w:gridCol w:w="1417"/>
      </w:tblGrid>
      <w:tr w:rsidR="0094622A" w:rsidRPr="002170BF" w:rsidTr="009235A7">
        <w:tc>
          <w:tcPr>
            <w:tcW w:w="1941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9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170BF" w:rsidRPr="002170BF" w:rsidTr="009235A7">
        <w:tc>
          <w:tcPr>
            <w:tcW w:w="1941" w:type="dxa"/>
            <w:vMerge w:val="restart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(в соответствии с пп.5.7, 5.3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(одноместный)  в соответствии с пп.5.7, 5.3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E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Обществознание. 5-9 классы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E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 "Обществознание" как часть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21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) Планшетный компьютер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CA04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5.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к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учебнику А.И.Кравченко «Обществознание» 5 класс.(CD)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6.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к учебнику А.И.Кравченко «Обществознание» 6 класс. 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7.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к учебнику А.И.Кравченко «Обществознание» 7 класс. 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Поурочные планы . 6 класс.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методическому пособию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Поурочные планы. 7 класс.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методическому пособию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9-11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Право. Права потребителя. Электронный справочник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право. 9-11кл </w:t>
            </w:r>
            <w:proofErr w:type="gram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Элективный</w:t>
            </w:r>
            <w:proofErr w:type="gram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мультимедиа-курс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государства российского.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правовых знаний 8-9 классы. Электронное приложение к учебному пособию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Практикум. Учебное электронное издание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 Большая энциклопедия России 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 (CD)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C0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обществознанию 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Л.Ф.,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 Обществознание. 5 класс. Рабочая тетрадь – М.: Просвещение, 2016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Володина С.И., Полиевктова А.М. Обществознание. Основы правовых знаний. Рабочая тетрадь: 8-9 классы: в 2-х частях. – М.: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/Учебник, 2012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ород Челябинск. Тетрадь юного краеведа/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сост.А.П.Моисеев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– Челябинск: Абрис, 2011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</w:t>
            </w: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материалов по всем разделам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портретов для кабинета истории. (10 портретов)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Портреты русских историков. Демонстрационный материал.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деятели России второй половины 19 века. Демонстрационный материал.</w:t>
            </w:r>
          </w:p>
        </w:tc>
        <w:tc>
          <w:tcPr>
            <w:tcW w:w="1417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 «20 лет российской демократии» (комплект 4 </w:t>
            </w:r>
            <w:proofErr w:type="spellStart"/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C0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обществознанию </w:t>
            </w: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учебно-методическим комплексом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Обществознание. Рабочие программы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предметная линия учебников под ред. Л.Н. Боголюбова. 5-9 классы: пособие для учителей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организаций – М.: Просвещение, 2014 </w:t>
            </w:r>
            <w:r w:rsidR="00024F76">
              <w:rPr>
                <w:rFonts w:ascii="Times New Roman" w:hAnsi="Times New Roman"/>
                <w:sz w:val="24"/>
                <w:szCs w:val="24"/>
              </w:rPr>
              <w:t>-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 xml:space="preserve"> Режим доступа </w:t>
            </w:r>
            <w:r w:rsidRPr="002170BF">
              <w:t xml:space="preserve"> </w:t>
            </w:r>
            <w:hyperlink r:id="rId5" w:history="1">
              <w:r w:rsidR="00024F76" w:rsidRPr="00D6107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</w:t>
              </w:r>
              <w:r w:rsidR="00024F76" w:rsidRPr="00D6107D">
                <w:rPr>
                  <w:rStyle w:val="a8"/>
                  <w:rFonts w:ascii="Times New Roman" w:hAnsi="Times New Roman"/>
                  <w:sz w:val="24"/>
                  <w:szCs w:val="24"/>
                </w:rPr>
                <w:t>p</w:t>
              </w:r>
              <w:r w:rsidR="00024F76" w:rsidRPr="00D6107D">
                <w:rPr>
                  <w:rStyle w:val="a8"/>
                  <w:rFonts w:ascii="Times New Roman" w:hAnsi="Times New Roman"/>
                  <w:sz w:val="24"/>
                  <w:szCs w:val="24"/>
                </w:rPr>
                <w:t>rosv.ru/assistance/umk/society-bogolyubov.html</w:t>
              </w:r>
            </w:hyperlink>
            <w:r w:rsidR="0002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C075C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Обществознание. Программа курса для 8-9 и 10-11 классов образовательных учреждений. Предметная линия учебников Кравченко А.И. – М.: </w:t>
            </w:r>
            <w:r w:rsidR="00C075C5">
              <w:rPr>
                <w:rFonts w:ascii="Times New Roman" w:hAnsi="Times New Roman"/>
                <w:sz w:val="24"/>
                <w:szCs w:val="24"/>
              </w:rPr>
              <w:t xml:space="preserve">Русское слово, 2013 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Ивонина А.И. Примерная рабочая  программа по учебному курсу Обществознание. Основы правовых знаний: 8-9 классы к учебному пособию Володиной С.И., Полиевктовой А.М. – М.: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/Учебник, 2015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</w:rPr>
            </w:pPr>
            <w:r w:rsidRPr="002170BF">
              <w:rPr>
                <w:rFonts w:ascii="Times New Roman" w:hAnsi="Times New Roman"/>
              </w:rPr>
              <w:t>Кравченко А.И. Обществознание: учебное пособие для 8 класса общеобразовательных организаций  Учебник (ФГОС ООО) – М.: Русское слово, 2016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</w:rPr>
            </w:pPr>
            <w:r w:rsidRPr="002170BF">
              <w:rPr>
                <w:rFonts w:ascii="Times New Roman" w:hAnsi="Times New Roman"/>
              </w:rPr>
              <w:t>Кравченко А.И. Обществознание: учебное пособие для 9 класса общеобразовательных организаций  Учебник (ФГОС ООО) – М.: Русское слово, 2016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</w:rPr>
            </w:pPr>
            <w:r w:rsidRPr="002170BF">
              <w:rPr>
                <w:rFonts w:ascii="Times New Roman" w:hAnsi="Times New Roman"/>
              </w:rPr>
              <w:t>Кравченко А.И. Обществознание: учебное пособие для 8 класса общеобразовательных организаций  – М.: Русское слово, 2012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</w:rPr>
            </w:pPr>
            <w:r w:rsidRPr="002170BF">
              <w:rPr>
                <w:rFonts w:ascii="Times New Roman" w:hAnsi="Times New Roman"/>
              </w:rPr>
              <w:t>Кравченко А.И. Обществознание: учебное пособие для 9 класса общеобразовательных организаций  – М.: Русское слово, 2013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Моисеев А. П. и др. </w:t>
            </w:r>
            <w:proofErr w:type="spellStart"/>
            <w:r w:rsidRPr="002170BF">
              <w:rPr>
                <w:rFonts w:ascii="Times New Roman" w:hAnsi="Times New Roman"/>
                <w:bCs/>
                <w:sz w:val="24"/>
                <w:szCs w:val="24"/>
              </w:rPr>
              <w:t>Южноуральская</w:t>
            </w:r>
            <w:proofErr w:type="spellEnd"/>
            <w:r w:rsidRPr="002170BF">
              <w:rPr>
                <w:rFonts w:ascii="Times New Roman" w:hAnsi="Times New Roman"/>
                <w:bCs/>
                <w:sz w:val="24"/>
                <w:szCs w:val="24"/>
              </w:rPr>
              <w:t xml:space="preserve"> панорама событий и достижений.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Книга для чтения по краеведению: учеб. Пособие / А. П. Моисеев, А. В. Драгунов, М. С.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Гитис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– Выпуск 1. – Челябинск: АБРИС, 2006.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Обществознание. Поурочные разработки. 7 класс: пособие для учителей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организаций – М.: Просвещение 2013 – Режим доступа </w:t>
            </w:r>
            <w:r w:rsidRPr="002170BF">
              <w:t xml:space="preserve"> </w:t>
            </w:r>
            <w:hyperlink r:id="rId6" w:history="1">
              <w:r w:rsidR="00024F76" w:rsidRPr="00D6107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http://www.prosv.ru</w:t>
              </w:r>
            </w:hyperlink>
            <w:r w:rsidR="0002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Иванова Л.Ф. Обществознание. Поурочные </w:t>
            </w:r>
            <w:r w:rsidRPr="002170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разработки. 5 класс: пособие для учителей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организаций. – М.: Просвещение, 2014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учебникам Обществознание 5-9 под </w:t>
            </w:r>
            <w:proofErr w:type="spellStart"/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Л.Н.Боголюбова – Режим доступа </w:t>
            </w:r>
            <w:r w:rsidRPr="002170BF">
              <w:t xml:space="preserve"> 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>http://catalog.prosv.ru/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Лобанов И.А. Обществознание. Тематический контроль. 5-6 класс. – М.: Национальное образование, 2013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Лобанов И.А. Обществознание. Тематический контроль. 7 класс. – М.: Национальное образование, 2013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Лобанов И.А. Обществознание. Тематический контроль. 8 класс. – М.: Национальное образование, 2015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Иркова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Л.Е. Обществознание. Тематический контроль. 5-6 класс. – М.: Национальное образование, 2013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Володина С.И., Полиевктова А.М. Обществознание. Основы правовых знаний. Учебное пособие: 8-9 классы: в 2-х частях. – М.: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Академкнига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/Учебник, 2014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Парламентский урок: через прошлое к будущему: метод. Пособие.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Законодат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Собр.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Челяб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Обл. и др.; (сост. С.Н.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Трошков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ред. В.М. Кузнецов) – Челябинск: Книга, 2010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Челябинская область. Краткий справочник / авт.- сост. </w:t>
            </w:r>
            <w:proofErr w:type="spellStart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А.П.Моисеев – Челябинск: Абрис, 2006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bottom"/>
          </w:tcPr>
          <w:p w:rsidR="002170BF" w:rsidRPr="002170BF" w:rsidRDefault="002170BF" w:rsidP="009235A7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Историческое краеведение: Челябинский Урал. Краткий справочник/ учебное пособие/ Н.Б.Виноградов, </w:t>
            </w:r>
            <w:proofErr w:type="spellStart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В.М.Кузнецов – Челябинск: Абрис, 2008</w:t>
            </w:r>
          </w:p>
        </w:tc>
        <w:tc>
          <w:tcPr>
            <w:tcW w:w="1417" w:type="dxa"/>
            <w:vAlign w:val="bottom"/>
          </w:tcPr>
          <w:p w:rsidR="002170BF" w:rsidRPr="002170BF" w:rsidRDefault="002170BF" w:rsidP="009235A7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Настенные учебные карты. 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конце XX - начале XXI века  (100*140)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 второй половине XX век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XXI века (100*140)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Африки во второй половине XX  - начале XXI века (70*100)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и страны Центральной и Южной Америки 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пол. XX -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XXI в. (100*140)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9235A7">
        <w:tc>
          <w:tcPr>
            <w:tcW w:w="1941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92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170BF" w:rsidRPr="002170BF" w:rsidRDefault="002170BF" w:rsidP="0021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 100х140</w:t>
            </w:r>
          </w:p>
        </w:tc>
        <w:tc>
          <w:tcPr>
            <w:tcW w:w="1417" w:type="dxa"/>
          </w:tcPr>
          <w:p w:rsidR="002170BF" w:rsidRPr="002170BF" w:rsidRDefault="002170BF" w:rsidP="0092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2170BF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2170BF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0BF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B3FC9" w:rsidRPr="002170BF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1"/>
        <w:gridCol w:w="816"/>
        <w:gridCol w:w="5162"/>
        <w:gridCol w:w="1874"/>
      </w:tblGrid>
      <w:tr w:rsidR="0094622A" w:rsidRPr="002170BF" w:rsidTr="002170BF">
        <w:tc>
          <w:tcPr>
            <w:tcW w:w="2001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62" w:type="dxa"/>
            <w:shd w:val="clear" w:color="auto" w:fill="auto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874" w:type="dxa"/>
          </w:tcPr>
          <w:p w:rsidR="0094622A" w:rsidRPr="002170BF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2170BF" w:rsidRPr="002170BF" w:rsidTr="002170BF">
        <w:tc>
          <w:tcPr>
            <w:tcW w:w="2001" w:type="dxa"/>
            <w:vMerge w:val="restart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(в соответствии с пп.5.7, 5.3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(одноместный)  в соответствии с пп.5.7, 5.3  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CA0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874" w:type="dxa"/>
          </w:tcPr>
          <w:p w:rsidR="002170BF" w:rsidRPr="002170BF" w:rsidRDefault="002170BF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A2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(Право.</w:t>
            </w:r>
            <w:proofErr w:type="gramEnd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уровень)</w:t>
            </w:r>
            <w:proofErr w:type="gramEnd"/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025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праву (профильный уровень) //</w:t>
            </w:r>
            <w:hyperlink r:id="rId7" w:history="1">
              <w:r w:rsidRPr="002170BF">
                <w:rPr>
                  <w:rFonts w:ascii="Times New Roman" w:hAnsi="Times New Roman"/>
                  <w:color w:val="000000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учебному предмету "Право" 10-11 классы</w:t>
            </w:r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(Обществознание.</w:t>
            </w:r>
            <w:proofErr w:type="gramEnd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Базовый уровень)</w:t>
            </w:r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(Обществознание.</w:t>
            </w:r>
            <w:proofErr w:type="gramEnd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 уровень)</w:t>
            </w:r>
            <w:proofErr w:type="gramEnd"/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обществознанию  (базовый уровень) //</w:t>
            </w:r>
            <w:hyperlink r:id="rId8" w:history="1">
              <w:r w:rsidRPr="002170BF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</w:t>
              </w:r>
              <w:r w:rsidRPr="002170BF">
                <w:rPr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федерального базисного учебного плана"</w:t>
              </w:r>
            </w:hyperlink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обществознанию  (профильный уровень) //</w:t>
            </w:r>
            <w:hyperlink r:id="rId9" w:history="1">
              <w:r w:rsidRPr="002170BF">
                <w:rPr>
                  <w:rFonts w:ascii="Times New Roman" w:hAnsi="Times New Roman"/>
                  <w:color w:val="000000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A2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учебному предмету "Обществознание. Базовый уровень" 10-11 классы</w:t>
            </w:r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A240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учебному предмету "Обществознание. Профильный  уровень" 10-11 классы</w:t>
            </w:r>
          </w:p>
        </w:tc>
        <w:tc>
          <w:tcPr>
            <w:tcW w:w="1874" w:type="dxa"/>
          </w:tcPr>
          <w:p w:rsidR="002170BF" w:rsidRPr="002170BF" w:rsidRDefault="002170BF" w:rsidP="00241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217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) Планшетный компьютер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874" w:type="dxa"/>
          </w:tcPr>
          <w:p w:rsidR="002170BF" w:rsidRPr="002170BF" w:rsidRDefault="002170BF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9-11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Право. Права потребителя. Электронный справочник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</w:t>
            </w: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право. 9-11кл </w:t>
            </w:r>
            <w:proofErr w:type="gram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Элективный</w:t>
            </w:r>
            <w:proofErr w:type="gram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мультимедиа-курс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государства российского.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Практикум. Учебное электронное издание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 Большая энциклопедия России 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 (CD)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Традиционные  средства обучения (в </w:t>
            </w:r>
            <w:r w:rsidRPr="00217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количестве, необходимом для организации индивидуальной и групповой работ)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 и праву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География. Челябинская область. 5-11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.: атлас/ под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ред.М.В.Паниной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, В.М.Кузнецова. – Челябинск: «Край Ра», 2014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 xml:space="preserve"> Т.Е. Обществознание. 10 класс. Тетрадь-тренажер. Базовый уровень. – </w:t>
            </w:r>
            <w:proofErr w:type="spellStart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Я сдам ЕГЭ! Модульный курс. Обществознание. Рабочая тетрадь. Учебное пособие для общеобразовательных организаций – М. Просвещение, 2016г.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ЕГЭ 2017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кз. Обществознание Практикум Задания с кратким ответом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2017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НО Обществознание УЭБ Тематические работы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Школьный словарь по обществознанию 10-11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Боголюбов /ФГОС/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ород Челябинск. Тетрадь юного краеведа/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сост.А.П.Моисеев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– Челябинск: Абрис, 2011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 и праву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портретов для кабинета истории. (10 портретов)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Портреты русских историков. Демонстрационный материал.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Пудовина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Государственные деятели России второй половины 19 века. Демонстрационный материал.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Плакаты «20 лет российской демократии» (комплект 4 </w:t>
            </w:r>
            <w:proofErr w:type="spellStart"/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 и праву</w:t>
            </w: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курса. Право. Основы правовой культуры. 10-11 класс. Базовый и профильный уровни. /авт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ост. Е.А.Певцова. – М.: ООО «Русское слово- учебник», 2015 – Режим доступа</w:t>
            </w:r>
          </w:p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http://русское-слово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ф/methodical/programs/Pravo_10-11.pdf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Обществознание, 10-11 классы. Базовый уровень (Л. Н. Боголюбов, Н. И. Городецкая, Л. Д. Иванова и др.). Обществознание, 10-11 классы. Профильный уровень (Л. Н. Боголюбов, Л. Ф. Иванова, А. Ю.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2170BF">
              <w:t>).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0BF">
              <w:rPr>
                <w:rFonts w:ascii="Times New Roman" w:hAnsi="Times New Roman"/>
                <w:sz w:val="24"/>
                <w:szCs w:val="24"/>
              </w:rPr>
              <w:lastRenderedPageBreak/>
              <w:t>/Программы общеобразовательных учреждений: Обществознание. 6-11 классы./</w:t>
            </w:r>
            <w:r w:rsidRPr="002170BF">
              <w:t xml:space="preserve"> 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Брехова Ю.В.,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Алмосов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Завьялов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Д Финансовая грамотность. 10-11 классы. Учебная программа. – М.: Вита-Пресс, 2016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</w:rPr>
              <w:t>Обществознание. Профильный уровень. Учебник для 10 класса общеобразовательных учреждений</w:t>
            </w:r>
            <w:proofErr w:type="gramStart"/>
            <w:r w:rsidRPr="002170BF">
              <w:rPr>
                <w:rFonts w:ascii="Times New Roman" w:hAnsi="Times New Roman" w:cs="Times New Roman"/>
              </w:rPr>
              <w:t>.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2170BF">
              <w:rPr>
                <w:rFonts w:ascii="Times New Roman" w:hAnsi="Times New Roman" w:cs="Times New Roman"/>
              </w:rPr>
              <w:t>п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о ред. Л.Н. Боголюбова, А.Ю. </w:t>
            </w:r>
            <w:proofErr w:type="spellStart"/>
            <w:r w:rsidRPr="002170B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170BF">
              <w:rPr>
                <w:rFonts w:ascii="Times New Roman" w:hAnsi="Times New Roman" w:cs="Times New Roman"/>
              </w:rPr>
              <w:t>, Н.М.Смирновой.-   М.  Просвещение, 2014г.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</w:rPr>
              <w:t>Обществознание. Базовый  уровень. Учебник для 10 класса общеобразовательных учреждений</w:t>
            </w:r>
            <w:proofErr w:type="gramStart"/>
            <w:r w:rsidRPr="002170BF">
              <w:rPr>
                <w:rFonts w:ascii="Times New Roman" w:hAnsi="Times New Roman" w:cs="Times New Roman"/>
              </w:rPr>
              <w:t>.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2170BF">
              <w:rPr>
                <w:rFonts w:ascii="Times New Roman" w:hAnsi="Times New Roman" w:cs="Times New Roman"/>
              </w:rPr>
              <w:t>п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о ред. Л.Н. Боголюбова, А.Ю. </w:t>
            </w:r>
            <w:proofErr w:type="spellStart"/>
            <w:r w:rsidRPr="002170B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170BF">
              <w:rPr>
                <w:rFonts w:ascii="Times New Roman" w:hAnsi="Times New Roman" w:cs="Times New Roman"/>
              </w:rPr>
              <w:t xml:space="preserve">, Н.М.Смирновой.-   М.  Просвещение, 2014г.  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</w:rPr>
              <w:t>Обществознание. Профильный уровень. Учебник для 11 класса общеобразовательных учреждений</w:t>
            </w:r>
            <w:proofErr w:type="gramStart"/>
            <w:r w:rsidRPr="002170BF">
              <w:rPr>
                <w:rFonts w:ascii="Times New Roman" w:hAnsi="Times New Roman" w:cs="Times New Roman"/>
              </w:rPr>
              <w:t>.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2170BF">
              <w:rPr>
                <w:rFonts w:ascii="Times New Roman" w:hAnsi="Times New Roman" w:cs="Times New Roman"/>
              </w:rPr>
              <w:t>п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о ред. Л.Н. Боголюбова, А.Ю. </w:t>
            </w:r>
            <w:proofErr w:type="spellStart"/>
            <w:r w:rsidRPr="002170B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170BF">
              <w:rPr>
                <w:rFonts w:ascii="Times New Roman" w:hAnsi="Times New Roman" w:cs="Times New Roman"/>
              </w:rPr>
              <w:t xml:space="preserve">, Н.М.Смирновой.-   М.  Просвещение, 2014г.  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0BF">
              <w:rPr>
                <w:rFonts w:ascii="Times New Roman" w:hAnsi="Times New Roman" w:cs="Times New Roman"/>
              </w:rPr>
              <w:t>Обществознание. Базовый  уровень. Учебник для 11 класса общеобразовательных учреждений</w:t>
            </w:r>
            <w:proofErr w:type="gramStart"/>
            <w:r w:rsidRPr="002170BF">
              <w:rPr>
                <w:rFonts w:ascii="Times New Roman" w:hAnsi="Times New Roman" w:cs="Times New Roman"/>
              </w:rPr>
              <w:t>.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2170BF">
              <w:rPr>
                <w:rFonts w:ascii="Times New Roman" w:hAnsi="Times New Roman" w:cs="Times New Roman"/>
              </w:rPr>
              <w:t>п</w:t>
            </w:r>
            <w:proofErr w:type="gramEnd"/>
            <w:r w:rsidRPr="002170BF">
              <w:rPr>
                <w:rFonts w:ascii="Times New Roman" w:hAnsi="Times New Roman" w:cs="Times New Roman"/>
              </w:rPr>
              <w:t xml:space="preserve">о ред. Л.Н. Боголюбова, А.Ю. </w:t>
            </w:r>
            <w:proofErr w:type="spellStart"/>
            <w:r w:rsidRPr="002170BF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170BF">
              <w:rPr>
                <w:rFonts w:ascii="Times New Roman" w:hAnsi="Times New Roman" w:cs="Times New Roman"/>
              </w:rPr>
              <w:t xml:space="preserve">, Н.М.Смирновой.-   М.  Просвещение, 2014г.  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</w:rPr>
              <w:t>Певцова Е.А. Право: Основы правовой культуры: Учебник для 10-11 классов общеобразовательных учреждений. Базовый и профильный уровни: В 2 частях – М.: ООО «ТИД «Русское слово – РС», 2014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Я сдам ЕГЭ! Модульный курс. Обществознание. Методика подготовки. Учебное пособие для общеобразовательных организаций – М. Просвещение, 2016г.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Брехова Ю.В. Финансовая грамотность. 10-11 классы. Контрольно-измерительные материалы. – М.: Вита-Пресс, 2016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Липиц И.В.  Финансовая грамотность. 10-11 классы. Материалы для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>. Модуль собственный бизнес. – М.: Вита-Пресс, 2016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Брехова Ю.В. Финансовая грамотность. 10-11 классы. Методические рекомендации для учителя. – М.: Вита-Пресс, 2016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ЕГЭ-2017. Обществознание. Комплекс материалов для подготовки учащихся – М.: Интеллект-Центр, 2017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Лосев С.А. Обществознание. Старшая школа. Раздел «Правовое регулирование общественных отношений»: учебное пособие – М.: Интеллект-Центр, 2012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Обществознание. Старшая школа. Раздел «Экономика»: учебное пособие/ Н.Н.Думная, А.К.Касьянов и </w:t>
            </w:r>
            <w:proofErr w:type="spellStart"/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– М.: Интеллект-Центр, 2012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 xml:space="preserve">Парламентский урок: через прошлое к будущему: метод. Пособие.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Законодат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Собр.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Челяб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. Обл. и др.; (сост. С.Н.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Трошков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 ред. В.М. Кузнецов) – Челябинск: Книга, 2010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2170BF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</w:rPr>
              <w:t xml:space="preserve">Сапогов В.М. Поурочные методические разработки к учебнику Е.А.Певцовой «Право. Основы правовой культуры» 10 </w:t>
            </w:r>
            <w:proofErr w:type="spellStart"/>
            <w:r w:rsidRPr="002170BF">
              <w:rPr>
                <w:rFonts w:ascii="Times New Roman" w:hAnsi="Times New Roman"/>
              </w:rPr>
              <w:t>кл</w:t>
            </w:r>
            <w:proofErr w:type="spellEnd"/>
            <w:r w:rsidRPr="002170BF">
              <w:rPr>
                <w:rFonts w:ascii="Times New Roman" w:hAnsi="Times New Roman"/>
              </w:rPr>
              <w:t>. Профильный уровень – М.: ООО « ТИД «Русское слов</w:t>
            </w:r>
            <w:proofErr w:type="gramStart"/>
            <w:r w:rsidRPr="002170BF">
              <w:rPr>
                <w:rFonts w:ascii="Times New Roman" w:hAnsi="Times New Roman"/>
              </w:rPr>
              <w:t>о-</w:t>
            </w:r>
            <w:proofErr w:type="gramEnd"/>
            <w:r w:rsidRPr="002170BF">
              <w:rPr>
                <w:rFonts w:ascii="Times New Roman" w:hAnsi="Times New Roman"/>
              </w:rPr>
              <w:t xml:space="preserve"> РС», 2015 (2009)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0BF">
              <w:rPr>
                <w:rFonts w:ascii="Times New Roman" w:eastAsia="Times New Roman" w:hAnsi="Times New Roman" w:cs="Times New Roman"/>
              </w:rPr>
              <w:t>Кожин Ю.А. Практикум по праву: К учебнику Е.Н. Певцовой «Право. Основы правовой культуры». Для 10 класса общеобразовательных учреждений. – М.: ООО «ТИД «Русское слово - РС», 2015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</w:rPr>
              <w:t xml:space="preserve">Сапогов В.М. Поурочные методические разработки к учебнику Е.А.Певцовой «Право. Основы правовой культуры» 11 </w:t>
            </w:r>
            <w:proofErr w:type="spellStart"/>
            <w:r w:rsidRPr="002170BF">
              <w:rPr>
                <w:rFonts w:ascii="Times New Roman" w:hAnsi="Times New Roman"/>
              </w:rPr>
              <w:t>кл</w:t>
            </w:r>
            <w:proofErr w:type="spellEnd"/>
            <w:r w:rsidRPr="002170BF">
              <w:rPr>
                <w:rFonts w:ascii="Times New Roman" w:hAnsi="Times New Roman"/>
              </w:rPr>
              <w:t>. Профильный уровень – М.: ООО « ТИД «Русское слов</w:t>
            </w:r>
            <w:proofErr w:type="gramStart"/>
            <w:r w:rsidRPr="002170BF">
              <w:rPr>
                <w:rFonts w:ascii="Times New Roman" w:hAnsi="Times New Roman"/>
              </w:rPr>
              <w:t>о-</w:t>
            </w:r>
            <w:proofErr w:type="gramEnd"/>
            <w:r w:rsidRPr="002170BF">
              <w:rPr>
                <w:rFonts w:ascii="Times New Roman" w:hAnsi="Times New Roman"/>
              </w:rPr>
              <w:t xml:space="preserve"> РС», 2015 (2009)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0BF">
              <w:rPr>
                <w:rFonts w:ascii="Times New Roman" w:eastAsia="Times New Roman" w:hAnsi="Times New Roman" w:cs="Times New Roman"/>
              </w:rPr>
              <w:t>Кожин Ю.А. Практикум по праву: К учебнику Е.Н. Певцовой «Право. Основы правовой культуры». Для 1</w:t>
            </w:r>
            <w:r w:rsidRPr="002170BF">
              <w:rPr>
                <w:rFonts w:ascii="Times New Roman" w:hAnsi="Times New Roman" w:cs="Times New Roman"/>
              </w:rPr>
              <w:t>1</w:t>
            </w:r>
            <w:r w:rsidRPr="002170BF">
              <w:rPr>
                <w:rFonts w:ascii="Times New Roman" w:eastAsia="Times New Roman" w:hAnsi="Times New Roman" w:cs="Times New Roman"/>
              </w:rPr>
              <w:t xml:space="preserve"> класса общеобразовательных учреждений. – М.: ООО «ТИД «Русское слово - РС», 2015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Королькова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Е.С., Рутковская Е.Л. ЕГЭ 2017. Практикум по обществознанию. Задания с кратким ответом. - </w:t>
            </w: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Экзамен, 2016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Рутковская Е.Л.</w:t>
            </w:r>
            <w:r w:rsidRPr="002170BF">
              <w:rPr>
                <w:rFonts w:ascii="Times New Roman" w:hAnsi="Times New Roman"/>
                <w:kern w:val="36"/>
                <w:sz w:val="24"/>
                <w:szCs w:val="24"/>
              </w:rPr>
              <w:t> </w:t>
            </w:r>
            <w:r w:rsidRPr="002170BF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ЕГЭ. Обществознание. Учебный экзаменационный банк: тематические работы. - Национальное образование, 2016г.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Поурочные разработки. 10 класс Базовый уровень /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>Боголюбов Л.Н., - М.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Просвещение, 2014г.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Е.Н. Обществознание. Поурочные разработки. 10 класс Профильный уровень  - М.: ВАКО, 2011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Поурочные разработки. 11 класс Базовый уровень /</w:t>
            </w:r>
            <w:r w:rsidRPr="002170BF">
              <w:rPr>
                <w:rFonts w:ascii="Times New Roman" w:hAnsi="Times New Roman"/>
                <w:sz w:val="24"/>
                <w:szCs w:val="24"/>
              </w:rPr>
              <w:t>Боголюбов Л.Н., - М.</w:t>
            </w:r>
            <w:proofErr w:type="gramStart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170BF">
              <w:rPr>
                <w:rFonts w:ascii="Times New Roman" w:hAnsi="Times New Roman"/>
                <w:sz w:val="24"/>
                <w:szCs w:val="24"/>
              </w:rPr>
              <w:t xml:space="preserve"> Просвещение, 2014г.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Бегенеева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Обществознание. Поурочные разработки. 10 класс Профильный уровень  - М.: ВАКО, 2011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Обществознание. Практикум. 10 класс: пособие для учителей </w:t>
            </w:r>
            <w:proofErr w:type="spellStart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общеобразоват</w:t>
            </w:r>
            <w:proofErr w:type="spellEnd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. учреждений: профильный уровень – М.: Просвещение, 2010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Обществознание. Практикум. 11 класс: пособие для учителей </w:t>
            </w:r>
            <w:proofErr w:type="spellStart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общеобразоват</w:t>
            </w:r>
            <w:proofErr w:type="spellEnd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. учреждений: профильный уровень – М.: Просвещение, 2010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  <w:vAlign w:val="bottom"/>
          </w:tcPr>
          <w:p w:rsidR="002170BF" w:rsidRPr="002170BF" w:rsidRDefault="002170BF" w:rsidP="004B647D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Королева Г.Э. Экономика: 10-11 классы: </w:t>
            </w:r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lastRenderedPageBreak/>
              <w:t xml:space="preserve">практикум для учащихся в 2-х ч – М.: </w:t>
            </w:r>
            <w:proofErr w:type="spellStart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Вентана-Граф</w:t>
            </w:r>
            <w:proofErr w:type="spellEnd"/>
            <w:r w:rsidRPr="002170BF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2013</w:t>
            </w:r>
          </w:p>
        </w:tc>
        <w:tc>
          <w:tcPr>
            <w:tcW w:w="1874" w:type="dxa"/>
            <w:vAlign w:val="bottom"/>
          </w:tcPr>
          <w:p w:rsidR="002170BF" w:rsidRPr="002170BF" w:rsidRDefault="002170BF" w:rsidP="004B647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70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</w:t>
            </w: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E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Настенные учебные карты. 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конце XX - начале XXI века  (100*140)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 второй половине XX век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XXI века (100*140)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Африки во второй половине XX  - начале XXI века (70*100)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США и страны Центральной и Южной Америки 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proofErr w:type="gram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пол. XX - </w:t>
            </w:r>
            <w:proofErr w:type="spellStart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>. XXI в. (100*140)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0BF" w:rsidRPr="002170BF" w:rsidTr="002170BF">
        <w:tc>
          <w:tcPr>
            <w:tcW w:w="2001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170BF" w:rsidRPr="002170BF" w:rsidRDefault="002170BF" w:rsidP="004B6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100х140 </w:t>
            </w:r>
          </w:p>
        </w:tc>
        <w:tc>
          <w:tcPr>
            <w:tcW w:w="1874" w:type="dxa"/>
          </w:tcPr>
          <w:p w:rsidR="002170BF" w:rsidRPr="002170BF" w:rsidRDefault="002170BF" w:rsidP="004B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3FC9" w:rsidRPr="002170BF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2170BF" w:rsidTr="00AF3E1B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2170BF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2170BF">
              <w:rPr>
                <w:rFonts w:eastAsia="Calibri"/>
                <w:szCs w:val="24"/>
                <w:lang w:eastAsia="en-US"/>
              </w:rPr>
              <w:br w:type="page"/>
            </w:r>
            <w:r w:rsidRPr="002170BF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2170BF" w:rsidTr="00AF3E1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2170BF" w:rsidTr="00AF3E1B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2170BF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0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2170BF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684A2C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70BF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684A2C" w:rsidRDefault="00FB3FC9" w:rsidP="00EB0925">
      <w:pPr>
        <w:pStyle w:val="a3"/>
        <w:spacing w:after="0"/>
        <w:jc w:val="right"/>
      </w:pPr>
    </w:p>
    <w:p w:rsidR="000834CA" w:rsidRPr="00684A2C" w:rsidRDefault="000834CA" w:rsidP="00EB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4CA" w:rsidRPr="00684A2C" w:rsidSect="00AF3E1B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C9"/>
    <w:rsid w:val="000117E8"/>
    <w:rsid w:val="00024F76"/>
    <w:rsid w:val="000511B0"/>
    <w:rsid w:val="00055559"/>
    <w:rsid w:val="00056B01"/>
    <w:rsid w:val="00080295"/>
    <w:rsid w:val="000834CA"/>
    <w:rsid w:val="000A58F6"/>
    <w:rsid w:val="000C0D99"/>
    <w:rsid w:val="000C6113"/>
    <w:rsid w:val="000D3CBC"/>
    <w:rsid w:val="000D4A25"/>
    <w:rsid w:val="000F5127"/>
    <w:rsid w:val="000F7DD8"/>
    <w:rsid w:val="001008D5"/>
    <w:rsid w:val="001217CD"/>
    <w:rsid w:val="00136955"/>
    <w:rsid w:val="00147A9C"/>
    <w:rsid w:val="0015189D"/>
    <w:rsid w:val="001939FC"/>
    <w:rsid w:val="002170BF"/>
    <w:rsid w:val="002233C2"/>
    <w:rsid w:val="002316B4"/>
    <w:rsid w:val="00232B7C"/>
    <w:rsid w:val="002407EF"/>
    <w:rsid w:val="00241C9A"/>
    <w:rsid w:val="00286542"/>
    <w:rsid w:val="002C7A22"/>
    <w:rsid w:val="002D5D88"/>
    <w:rsid w:val="002D7ACC"/>
    <w:rsid w:val="00306B74"/>
    <w:rsid w:val="0033265D"/>
    <w:rsid w:val="00342882"/>
    <w:rsid w:val="003543DA"/>
    <w:rsid w:val="003716E8"/>
    <w:rsid w:val="003D5EFA"/>
    <w:rsid w:val="003F46A2"/>
    <w:rsid w:val="00446B47"/>
    <w:rsid w:val="004708BE"/>
    <w:rsid w:val="0049201D"/>
    <w:rsid w:val="004B647D"/>
    <w:rsid w:val="004E3692"/>
    <w:rsid w:val="00524B8D"/>
    <w:rsid w:val="005317F4"/>
    <w:rsid w:val="0054611B"/>
    <w:rsid w:val="00561F47"/>
    <w:rsid w:val="0058183E"/>
    <w:rsid w:val="005A1FC4"/>
    <w:rsid w:val="005B3611"/>
    <w:rsid w:val="00604591"/>
    <w:rsid w:val="00606B9D"/>
    <w:rsid w:val="00615F52"/>
    <w:rsid w:val="00622395"/>
    <w:rsid w:val="00635067"/>
    <w:rsid w:val="0063564D"/>
    <w:rsid w:val="00663559"/>
    <w:rsid w:val="00675663"/>
    <w:rsid w:val="00684A2C"/>
    <w:rsid w:val="006856AC"/>
    <w:rsid w:val="00695C62"/>
    <w:rsid w:val="006C0577"/>
    <w:rsid w:val="006F32E5"/>
    <w:rsid w:val="007551F9"/>
    <w:rsid w:val="00782305"/>
    <w:rsid w:val="007901F7"/>
    <w:rsid w:val="00793A5A"/>
    <w:rsid w:val="007A3753"/>
    <w:rsid w:val="007B2586"/>
    <w:rsid w:val="007E4343"/>
    <w:rsid w:val="00803955"/>
    <w:rsid w:val="00844DF8"/>
    <w:rsid w:val="0085491A"/>
    <w:rsid w:val="00891496"/>
    <w:rsid w:val="0089653D"/>
    <w:rsid w:val="008B1294"/>
    <w:rsid w:val="008C0AC5"/>
    <w:rsid w:val="00911D8E"/>
    <w:rsid w:val="00914269"/>
    <w:rsid w:val="009235A7"/>
    <w:rsid w:val="0094622A"/>
    <w:rsid w:val="00976629"/>
    <w:rsid w:val="009824B7"/>
    <w:rsid w:val="00992765"/>
    <w:rsid w:val="00997E56"/>
    <w:rsid w:val="009D1F5B"/>
    <w:rsid w:val="009F5EAC"/>
    <w:rsid w:val="00A064B8"/>
    <w:rsid w:val="00A1581D"/>
    <w:rsid w:val="00A24063"/>
    <w:rsid w:val="00A607C6"/>
    <w:rsid w:val="00A66697"/>
    <w:rsid w:val="00AB357B"/>
    <w:rsid w:val="00AB5FE2"/>
    <w:rsid w:val="00AB759B"/>
    <w:rsid w:val="00AE31EE"/>
    <w:rsid w:val="00AF3E1B"/>
    <w:rsid w:val="00AF48F7"/>
    <w:rsid w:val="00B02567"/>
    <w:rsid w:val="00B3324D"/>
    <w:rsid w:val="00B5298C"/>
    <w:rsid w:val="00B5607D"/>
    <w:rsid w:val="00B62121"/>
    <w:rsid w:val="00B762A6"/>
    <w:rsid w:val="00B9339E"/>
    <w:rsid w:val="00B93E26"/>
    <w:rsid w:val="00BC58F9"/>
    <w:rsid w:val="00BD4FA6"/>
    <w:rsid w:val="00BF3E80"/>
    <w:rsid w:val="00C060AB"/>
    <w:rsid w:val="00C075C5"/>
    <w:rsid w:val="00C26327"/>
    <w:rsid w:val="00C406D8"/>
    <w:rsid w:val="00C471D3"/>
    <w:rsid w:val="00C825B8"/>
    <w:rsid w:val="00C93975"/>
    <w:rsid w:val="00CA046C"/>
    <w:rsid w:val="00CC0DE5"/>
    <w:rsid w:val="00D468C8"/>
    <w:rsid w:val="00D75AD0"/>
    <w:rsid w:val="00D75D0D"/>
    <w:rsid w:val="00D90F7D"/>
    <w:rsid w:val="00D95A7C"/>
    <w:rsid w:val="00DA5A60"/>
    <w:rsid w:val="00DF575B"/>
    <w:rsid w:val="00E173C1"/>
    <w:rsid w:val="00E35506"/>
    <w:rsid w:val="00E37B3B"/>
    <w:rsid w:val="00E43771"/>
    <w:rsid w:val="00E65CF6"/>
    <w:rsid w:val="00E71397"/>
    <w:rsid w:val="00EA0B8A"/>
    <w:rsid w:val="00EB0925"/>
    <w:rsid w:val="00EC5989"/>
    <w:rsid w:val="00EC6487"/>
    <w:rsid w:val="00EE0FE0"/>
    <w:rsid w:val="00EE350F"/>
    <w:rsid w:val="00EF227C"/>
    <w:rsid w:val="00F247DF"/>
    <w:rsid w:val="00F271A5"/>
    <w:rsid w:val="00F800B1"/>
    <w:rsid w:val="00F84BA2"/>
    <w:rsid w:val="00F9213B"/>
    <w:rsid w:val="00F97860"/>
    <w:rsid w:val="00FB3FC9"/>
    <w:rsid w:val="00F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A"/>
  </w:style>
  <w:style w:type="paragraph" w:styleId="1">
    <w:name w:val="heading 1"/>
    <w:basedOn w:val="a"/>
    <w:link w:val="10"/>
    <w:uiPriority w:val="9"/>
    <w:qFormat/>
    <w:rsid w:val="00B3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Style33">
    <w:name w:val="1CStyle33"/>
    <w:rsid w:val="000F5127"/>
    <w:pPr>
      <w:jc w:val="right"/>
    </w:pPr>
    <w:rPr>
      <w:rFonts w:ascii="Calibri" w:eastAsia="Times New Roman" w:hAnsi="Calibri" w:cs="Times New Roman"/>
    </w:rPr>
  </w:style>
  <w:style w:type="paragraph" w:customStyle="1" w:styleId="1CStyle32">
    <w:name w:val="1CStyle32"/>
    <w:rsid w:val="000F5127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C0AC5"/>
    <w:rPr>
      <w:b/>
      <w:bCs/>
    </w:rPr>
  </w:style>
  <w:style w:type="character" w:styleId="a8">
    <w:name w:val="Hyperlink"/>
    <w:basedOn w:val="a0"/>
    <w:uiPriority w:val="99"/>
    <w:unhideWhenUsed/>
    <w:rsid w:val="008C0AC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EB092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33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35067"/>
  </w:style>
  <w:style w:type="paragraph" w:styleId="ab">
    <w:name w:val="header"/>
    <w:basedOn w:val="a"/>
    <w:link w:val="ac"/>
    <w:uiPriority w:val="99"/>
    <w:unhideWhenUsed/>
    <w:rsid w:val="0063506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35067"/>
    <w:rPr>
      <w:rFonts w:ascii="Calibri" w:eastAsia="Times New Roman" w:hAnsi="Calibri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024F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605577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6055777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sv.ru/assistance/umk/society-bogolyubov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605577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CDB9F-CBEC-43BF-A21B-404E49A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102</cp:revision>
  <dcterms:created xsi:type="dcterms:W3CDTF">2016-12-29T05:03:00Z</dcterms:created>
  <dcterms:modified xsi:type="dcterms:W3CDTF">2017-01-13T10:51:00Z</dcterms:modified>
</cp:coreProperties>
</file>